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3464BF3F" w:rsidR="004E7280"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1DA82926" w:rsidR="001C75AA" w:rsidRPr="00EA1A82"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CE2AD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2FC4E657" w:rsidR="004977E7" w:rsidRPr="00EA1A82"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6E91980" w:rsidR="00AF112E"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6A08CC93" w:rsidR="004E7280" w:rsidRDefault="006120C2"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0"/>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6D180C8E" w:rsidR="0072368F" w:rsidRPr="00EA1A82" w:rsidRDefault="006120C2"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16A4C922" w:rsidR="004E7280" w:rsidRDefault="006120C2"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1"/>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7777777" w:rsidR="004E7280" w:rsidRDefault="006120C2"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6120C2"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7777777" w:rsidR="004E7280" w:rsidRPr="00EA1A82" w:rsidRDefault="006120C2"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77777777" w:rsidR="0002750D" w:rsidRPr="00EA1A82" w:rsidRDefault="006120C2"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6120C2"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6120C2"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681C4174" w:rsidR="004E7280" w:rsidRPr="00EA1A82" w:rsidRDefault="006120C2"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5B15BD68"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p>
          <w:p w14:paraId="588C6301" w14:textId="0417F9AA"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Pr>
                <w:rFonts w:asciiTheme="minorHAnsi" w:hAnsiTheme="minorHAnsi" w:cstheme="minorHAnsi"/>
                <w:szCs w:val="22"/>
              </w:rPr>
              <w:t>Nikki Sharp</w:t>
            </w:r>
            <w:r w:rsidR="0034098E">
              <w:rPr>
                <w:rFonts w:asciiTheme="minorHAnsi" w:hAnsiTheme="minorHAnsi" w:cstheme="minorHAnsi"/>
                <w:szCs w:val="22"/>
              </w:rPr>
              <w:t>, Sam Jackle</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37B9BDEB"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AD1356">
        <w:rPr>
          <w:rFonts w:asciiTheme="minorHAnsi" w:hAnsiTheme="minorHAnsi" w:cstheme="minorHAnsi"/>
          <w:szCs w:val="22"/>
        </w:rPr>
        <w:t>2:0</w:t>
      </w:r>
      <w:r w:rsidR="00CE2ADD">
        <w:rPr>
          <w:rFonts w:asciiTheme="minorHAnsi" w:hAnsiTheme="minorHAnsi" w:cstheme="minorHAnsi"/>
          <w:szCs w:val="22"/>
        </w:rPr>
        <w:t>3</w:t>
      </w:r>
      <w:r w:rsidR="00F76CED" w:rsidRPr="00EA1A82">
        <w:rPr>
          <w:rFonts w:asciiTheme="minorHAnsi" w:hAnsiTheme="minorHAnsi" w:cstheme="minorHAnsi"/>
          <w:szCs w:val="22"/>
        </w:rPr>
        <w:t xml:space="preserve"> </w:t>
      </w:r>
      <w:r w:rsidR="00AD1356">
        <w:rPr>
          <w:rFonts w:asciiTheme="minorHAnsi" w:hAnsiTheme="minorHAnsi" w:cstheme="minorHAnsi"/>
          <w:szCs w:val="22"/>
        </w:rPr>
        <w:t>P</w:t>
      </w:r>
      <w:r w:rsidR="00C61434">
        <w:rPr>
          <w:rFonts w:asciiTheme="minorHAnsi" w:hAnsiTheme="minorHAnsi" w:cstheme="minorHAnsi"/>
          <w:szCs w:val="22"/>
        </w:rPr>
        <w:t>M</w:t>
      </w:r>
      <w:r w:rsidRPr="00EA1A82">
        <w:rPr>
          <w:rFonts w:asciiTheme="minorHAnsi" w:hAnsiTheme="minorHAnsi" w:cstheme="minorHAnsi"/>
          <w:szCs w:val="22"/>
        </w:rPr>
        <w:t>.</w:t>
      </w:r>
      <w:r w:rsidR="00466D1A">
        <w:rPr>
          <w:rFonts w:asciiTheme="minorHAnsi" w:hAnsiTheme="minorHAnsi" w:cstheme="minorHAnsi"/>
          <w:szCs w:val="22"/>
        </w:rPr>
        <w:t xml:space="preserve"> We went around the</w:t>
      </w:r>
      <w:r w:rsidR="00CE2ADD">
        <w:rPr>
          <w:rFonts w:asciiTheme="minorHAnsi" w:hAnsiTheme="minorHAnsi" w:cstheme="minorHAnsi"/>
          <w:szCs w:val="22"/>
        </w:rPr>
        <w:t xml:space="preserve"> virtual</w:t>
      </w:r>
      <w:r w:rsidR="00814E79">
        <w:rPr>
          <w:rFonts w:asciiTheme="minorHAnsi" w:hAnsiTheme="minorHAnsi" w:cstheme="minorHAnsi"/>
          <w:szCs w:val="22"/>
        </w:rPr>
        <w:t xml:space="preserve">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49F8538A"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CE2ADD">
        <w:rPr>
          <w:rFonts w:asciiTheme="minorHAnsi" w:hAnsiTheme="minorHAnsi" w:cstheme="minorHAnsi"/>
          <w:b/>
          <w:szCs w:val="22"/>
        </w:rPr>
        <w:t>June 25</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CE2ADD">
        <w:rPr>
          <w:rFonts w:asciiTheme="minorHAnsi" w:hAnsiTheme="minorHAnsi" w:cstheme="minorHAnsi"/>
          <w:szCs w:val="22"/>
        </w:rPr>
        <w:t>Craig moved to approve, Andrea seconded. A</w:t>
      </w:r>
      <w:r w:rsidR="00545048">
        <w:rPr>
          <w:rFonts w:asciiTheme="minorHAnsi" w:hAnsiTheme="minorHAnsi" w:cstheme="minorHAnsi"/>
          <w:szCs w:val="22"/>
        </w:rPr>
        <w:t>ll were in favor.</w:t>
      </w:r>
    </w:p>
    <w:p w14:paraId="26222345" w14:textId="06AFC30B" w:rsidR="00814E79" w:rsidRDefault="00814E79" w:rsidP="00466D1A">
      <w:pPr>
        <w:jc w:val="both"/>
        <w:rPr>
          <w:rFonts w:asciiTheme="minorHAnsi" w:hAnsiTheme="minorHAnsi" w:cstheme="minorHAnsi"/>
          <w:szCs w:val="22"/>
        </w:rPr>
      </w:pPr>
    </w:p>
    <w:p w14:paraId="1FDA4095" w14:textId="0F794FEF" w:rsidR="00814E79" w:rsidRPr="00466D1A" w:rsidRDefault="00CE2ADD" w:rsidP="00466D1A">
      <w:pPr>
        <w:jc w:val="both"/>
        <w:rPr>
          <w:rFonts w:asciiTheme="minorHAnsi" w:hAnsiTheme="minorHAnsi" w:cstheme="minorHAnsi"/>
          <w:szCs w:val="22"/>
        </w:rPr>
      </w:pPr>
      <w:r>
        <w:rPr>
          <w:rFonts w:asciiTheme="minorHAnsi" w:hAnsiTheme="minorHAnsi" w:cstheme="minorHAnsi"/>
          <w:b/>
          <w:szCs w:val="22"/>
        </w:rPr>
        <w:t>NW Cooperative Development Center</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Pr>
          <w:rFonts w:asciiTheme="minorHAnsi" w:hAnsiTheme="minorHAnsi" w:cstheme="minorHAnsi"/>
          <w:szCs w:val="22"/>
        </w:rPr>
        <w:t>Offers grants for technical assistance for the development of community land trusts; Craig moved that the COH create a letter of support, Juli seconded. All were in favor.</w:t>
      </w:r>
      <w:r w:rsidR="00545048">
        <w:rPr>
          <w:rFonts w:asciiTheme="minorHAnsi" w:hAnsiTheme="minorHAnsi" w:cstheme="minorHAnsi"/>
          <w:szCs w:val="22"/>
        </w:rPr>
        <w:t xml:space="preserve"> </w:t>
      </w:r>
    </w:p>
    <w:p w14:paraId="4FFFD0D5" w14:textId="77777777" w:rsidR="00037FCE" w:rsidRDefault="00037FCE" w:rsidP="00E45891">
      <w:pPr>
        <w:jc w:val="both"/>
        <w:rPr>
          <w:rFonts w:asciiTheme="minorHAnsi" w:hAnsiTheme="minorHAnsi" w:cstheme="minorHAnsi"/>
          <w:b/>
          <w:szCs w:val="22"/>
        </w:rPr>
      </w:pPr>
    </w:p>
    <w:p w14:paraId="04873FEA" w14:textId="3FA4C4E1" w:rsidR="00037FCE" w:rsidRDefault="006120C2" w:rsidP="00E45891">
      <w:pPr>
        <w:jc w:val="both"/>
        <w:rPr>
          <w:rFonts w:asciiTheme="minorHAnsi" w:hAnsiTheme="minorHAnsi" w:cstheme="minorHAnsi"/>
          <w:szCs w:val="22"/>
        </w:rPr>
      </w:pPr>
      <w:r>
        <w:rPr>
          <w:rFonts w:asciiTheme="minorHAnsi" w:hAnsiTheme="minorHAnsi" w:cstheme="minorHAnsi"/>
          <w:b/>
          <w:bCs/>
          <w:szCs w:val="22"/>
        </w:rPr>
        <w:t>Housing Needs Assessment</w:t>
      </w:r>
      <w:r w:rsidR="00E45891">
        <w:rPr>
          <w:rFonts w:asciiTheme="minorHAnsi" w:hAnsiTheme="minorHAnsi" w:cstheme="minorHAnsi"/>
          <w:szCs w:val="22"/>
        </w:rPr>
        <w:t xml:space="preserve">: </w:t>
      </w:r>
      <w:r>
        <w:rPr>
          <w:rFonts w:asciiTheme="minorHAnsi" w:hAnsiTheme="minorHAnsi" w:cstheme="minorHAnsi"/>
          <w:szCs w:val="22"/>
        </w:rPr>
        <w:t>Walla Walla, College Place, Dayton (County also participating). City has submitted for one-on-one interviews to take place to provide input into regional housing action plan.  As we move along in analysis, will share broader public outreach plan for the community to be involved and share input.</w:t>
      </w:r>
    </w:p>
    <w:p w14:paraId="630FD1D1" w14:textId="77777777" w:rsidR="00453CE1" w:rsidRPr="00E45891" w:rsidRDefault="00453CE1" w:rsidP="00E45891">
      <w:pPr>
        <w:jc w:val="both"/>
        <w:rPr>
          <w:rFonts w:asciiTheme="minorHAnsi" w:hAnsiTheme="minorHAnsi" w:cstheme="minorHAnsi"/>
          <w:szCs w:val="22"/>
        </w:rPr>
      </w:pPr>
    </w:p>
    <w:p w14:paraId="28747135" w14:textId="45217C05" w:rsidR="0034098E" w:rsidRPr="0034098E" w:rsidRDefault="006120C2" w:rsidP="0034098E">
      <w:pPr>
        <w:jc w:val="both"/>
        <w:rPr>
          <w:rFonts w:asciiTheme="minorHAnsi" w:hAnsiTheme="minorHAnsi" w:cstheme="minorHAnsi"/>
          <w:b/>
          <w:szCs w:val="22"/>
        </w:rPr>
      </w:pPr>
      <w:r>
        <w:rPr>
          <w:rFonts w:asciiTheme="minorHAnsi" w:hAnsiTheme="minorHAnsi" w:cstheme="minorHAnsi"/>
          <w:b/>
          <w:szCs w:val="22"/>
        </w:rPr>
        <w:t xml:space="preserve">Economic Development Administration: </w:t>
      </w:r>
      <w:r>
        <w:rPr>
          <w:rFonts w:asciiTheme="minorHAnsi" w:hAnsiTheme="minorHAnsi" w:cstheme="minorHAnsi"/>
          <w:bCs/>
          <w:szCs w:val="22"/>
        </w:rPr>
        <w:t>Lots of funding via CARES Act bill. Added one of top funding priorities is for investments in opportunity zones; ¾ of College Place is an opportunity zone. Walla Walla (city) has an opportunity zone as well. Sam will share out Mike’s email about this.</w:t>
      </w:r>
      <w:r w:rsidR="0034098E">
        <w:rPr>
          <w:rFonts w:asciiTheme="minorHAnsi" w:hAnsiTheme="minorHAnsi" w:cstheme="minorHAnsi"/>
          <w:b/>
          <w:szCs w:val="22"/>
        </w:rPr>
        <w:t xml:space="preserve"> </w:t>
      </w:r>
    </w:p>
    <w:p w14:paraId="0CCDF8A1" w14:textId="13E2FF75" w:rsidR="00E45891" w:rsidRPr="00E45891" w:rsidRDefault="00E45891" w:rsidP="00585218">
      <w:pPr>
        <w:jc w:val="both"/>
        <w:rPr>
          <w:rFonts w:asciiTheme="minorHAnsi" w:hAnsiTheme="minorHAnsi" w:cstheme="minorHAnsi"/>
          <w:szCs w:val="22"/>
        </w:rPr>
      </w:pPr>
    </w:p>
    <w:p w14:paraId="28CCEF33" w14:textId="5310545C" w:rsidR="0034098E" w:rsidRPr="005004EC" w:rsidRDefault="00545048" w:rsidP="0034098E">
      <w:pPr>
        <w:spacing w:line="276" w:lineRule="auto"/>
        <w:rPr>
          <w:rFonts w:ascii="Calibri" w:hAnsi="Calibri" w:cs="Calibri"/>
          <w:szCs w:val="22"/>
        </w:rPr>
      </w:pPr>
      <w:r>
        <w:rPr>
          <w:rFonts w:asciiTheme="minorHAnsi" w:hAnsiTheme="minorHAnsi" w:cstheme="minorHAnsi"/>
          <w:b/>
          <w:szCs w:val="22"/>
        </w:rPr>
        <w:t>HB 1406 Update</w:t>
      </w:r>
      <w:r w:rsidR="0034098E">
        <w:rPr>
          <w:rFonts w:asciiTheme="minorHAnsi" w:hAnsiTheme="minorHAnsi" w:cstheme="minorHAnsi"/>
          <w:b/>
          <w:szCs w:val="22"/>
        </w:rPr>
        <w:t xml:space="preserve">: </w:t>
      </w:r>
      <w:r w:rsidR="006120C2">
        <w:rPr>
          <w:rFonts w:ascii="Calibri" w:hAnsi="Calibri" w:cs="Calibri"/>
          <w:szCs w:val="22"/>
        </w:rPr>
        <w:t>City of Walla Walla acted</w:t>
      </w:r>
      <w:bookmarkStart w:id="0" w:name="_GoBack"/>
      <w:bookmarkEnd w:id="0"/>
      <w:r w:rsidR="006120C2">
        <w:rPr>
          <w:rFonts w:ascii="Calibri" w:hAnsi="Calibri" w:cs="Calibri"/>
          <w:szCs w:val="22"/>
        </w:rPr>
        <w:t xml:space="preserve"> and passed resolution saying they will NOT pass an ordinance. Waiting for all City signatures before fully executing with Board of County Commissioners.</w:t>
      </w:r>
    </w:p>
    <w:p w14:paraId="3F8D5909" w14:textId="77777777" w:rsidR="00563E24" w:rsidRPr="00563E24" w:rsidRDefault="00563E24" w:rsidP="00037FCE">
      <w:pPr>
        <w:spacing w:line="276" w:lineRule="auto"/>
        <w:rPr>
          <w:rFonts w:asciiTheme="minorHAnsi" w:hAnsiTheme="minorHAnsi" w:cstheme="minorHAnsi"/>
          <w:bCs/>
          <w:szCs w:val="22"/>
        </w:rPr>
      </w:pPr>
    </w:p>
    <w:p w14:paraId="16191316" w14:textId="616FC594" w:rsidR="00563E24" w:rsidRPr="00DD5DA8" w:rsidRDefault="006120C2" w:rsidP="006120C2">
      <w:pPr>
        <w:spacing w:line="276" w:lineRule="auto"/>
        <w:rPr>
          <w:rFonts w:asciiTheme="minorHAnsi" w:hAnsiTheme="minorHAnsi" w:cstheme="minorHAnsi"/>
          <w:bCs/>
          <w:szCs w:val="22"/>
        </w:rPr>
      </w:pPr>
      <w:r>
        <w:rPr>
          <w:rFonts w:asciiTheme="minorHAnsi" w:hAnsiTheme="minorHAnsi" w:cstheme="minorHAnsi"/>
          <w:b/>
          <w:szCs w:val="22"/>
        </w:rPr>
        <w:t>Other business</w:t>
      </w:r>
      <w:r w:rsidR="005004EC">
        <w:rPr>
          <w:rFonts w:asciiTheme="minorHAnsi" w:hAnsiTheme="minorHAnsi" w:cstheme="minorHAnsi"/>
          <w:b/>
          <w:szCs w:val="22"/>
        </w:rPr>
        <w:t xml:space="preserve">: </w:t>
      </w:r>
      <w:r>
        <w:rPr>
          <w:rFonts w:asciiTheme="minorHAnsi" w:hAnsiTheme="minorHAnsi" w:cstheme="minorHAnsi"/>
          <w:bCs/>
          <w:szCs w:val="22"/>
        </w:rPr>
        <w:t>COH follow-up with County CARES Act funds request, Renee motioned that the COH support this request, Craig seconded. No further comments, all approved. BMAC working on huge media blitz regarding rent and utility assistance. Mike shared news about the letter Community Council worked on requesting that the Governor extend the moratorium. Concerns expressed about landlords hurting, folks accumulating debt, etc. Tyler shared that if mortgages are federally backed, folks should be able to apply for forbearance during periods in which tenant is not paying rent. COVID-19 Emergency Housing Grant funds can now be used through 12/31/2020 (originally 9/30/2020).</w:t>
      </w:r>
    </w:p>
    <w:p w14:paraId="46DB8C20" w14:textId="77777777" w:rsidR="00DD5DA8" w:rsidRDefault="00DD5DA8" w:rsidP="00966C15">
      <w:pPr>
        <w:spacing w:line="276" w:lineRule="auto"/>
        <w:rPr>
          <w:rFonts w:asciiTheme="minorHAnsi" w:hAnsiTheme="minorHAnsi" w:cstheme="minorHAnsi"/>
          <w:b/>
          <w:szCs w:val="22"/>
        </w:rPr>
      </w:pPr>
    </w:p>
    <w:p w14:paraId="62A0AD53" w14:textId="2D1401B6" w:rsidR="007D77F5" w:rsidRPr="00A23531"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 xml:space="preserve">The meeting was adjourned at </w:t>
      </w:r>
      <w:r w:rsidR="005004EC">
        <w:rPr>
          <w:rFonts w:asciiTheme="minorHAnsi" w:hAnsiTheme="minorHAnsi" w:cstheme="minorHAnsi"/>
          <w:szCs w:val="22"/>
        </w:rPr>
        <w:t>2:</w:t>
      </w:r>
      <w:r w:rsidR="006120C2">
        <w:rPr>
          <w:rFonts w:asciiTheme="minorHAnsi" w:hAnsiTheme="minorHAnsi" w:cstheme="minorHAnsi"/>
          <w:szCs w:val="22"/>
        </w:rPr>
        <w:t>4</w:t>
      </w:r>
      <w:r w:rsidR="00545048">
        <w:rPr>
          <w:rFonts w:asciiTheme="minorHAnsi" w:hAnsiTheme="minorHAnsi" w:cstheme="minorHAnsi"/>
          <w:szCs w:val="22"/>
        </w:rPr>
        <w:t>9</w:t>
      </w:r>
      <w:r w:rsidR="005004EC">
        <w:rPr>
          <w:rFonts w:asciiTheme="minorHAnsi" w:hAnsiTheme="minorHAnsi" w:cstheme="minorHAnsi"/>
          <w:szCs w:val="22"/>
        </w:rPr>
        <w:t xml:space="preserve"> P</w:t>
      </w:r>
      <w:r w:rsidR="00585218">
        <w:rPr>
          <w:rFonts w:asciiTheme="minorHAnsi" w:hAnsiTheme="minorHAnsi" w:cstheme="minorHAnsi"/>
          <w:szCs w:val="22"/>
        </w:rPr>
        <w:t>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6120C2"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77777777" w:rsidR="00F76CED" w:rsidRDefault="00F76CED" w:rsidP="008E0AB4">
    <w:pPr>
      <w:pStyle w:val="Header"/>
      <w:tabs>
        <w:tab w:val="clear" w:pos="4320"/>
        <w:tab w:val="clear" w:pos="8640"/>
        <w:tab w:val="center" w:pos="5400"/>
      </w:tabs>
      <w:jc w:val="right"/>
      <w:rPr>
        <w:rFonts w:asciiTheme="minorHAnsi" w:hAnsiTheme="minorHAnsi"/>
        <w:b/>
        <w:bCs/>
        <w:sz w:val="24"/>
      </w:rPr>
    </w:pPr>
    <w:r>
      <w:rPr>
        <w:rFonts w:asciiTheme="minorHAnsi" w:hAnsiTheme="minorHAnsi"/>
        <w:b/>
        <w:bCs/>
        <w:sz w:val="24"/>
      </w:rPr>
      <w:t>Meeting Minutes</w:t>
    </w:r>
  </w:p>
  <w:p w14:paraId="2EFD4E64" w14:textId="144BF26A"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AD1356">
      <w:rPr>
        <w:rFonts w:asciiTheme="minorHAnsi" w:hAnsiTheme="minorHAnsi"/>
        <w:b/>
        <w:bCs/>
        <w:sz w:val="24"/>
      </w:rPr>
      <w:t>Ju</w:t>
    </w:r>
    <w:r w:rsidR="00CE2ADD">
      <w:rPr>
        <w:rFonts w:asciiTheme="minorHAnsi" w:hAnsiTheme="minorHAnsi"/>
        <w:b/>
        <w:bCs/>
        <w:sz w:val="24"/>
      </w:rPr>
      <w:t>ly 23</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120C2"/>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2CAE"/>
    <w:rsid w:val="008278EB"/>
    <w:rsid w:val="00830B39"/>
    <w:rsid w:val="00832B7F"/>
    <w:rsid w:val="00837290"/>
    <w:rsid w:val="00844ADF"/>
    <w:rsid w:val="008513F1"/>
    <w:rsid w:val="00862537"/>
    <w:rsid w:val="00862B9E"/>
    <w:rsid w:val="00864CB2"/>
    <w:rsid w:val="008670FA"/>
    <w:rsid w:val="00877F27"/>
    <w:rsid w:val="008A0E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CF29-70AF-472C-9BC8-A8A12EA3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407</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4</cp:revision>
  <cp:lastPrinted>2018-04-20T15:46:00Z</cp:lastPrinted>
  <dcterms:created xsi:type="dcterms:W3CDTF">2020-09-24T14:07:00Z</dcterms:created>
  <dcterms:modified xsi:type="dcterms:W3CDTF">2020-09-24T20:26:00Z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